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032"/>
            <w:shd w:fill="F1F5F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282828"/>
                <w:sz w:val="17"/>
              </w:rPr>
              <w:t>NÁZEV ZDRAVOTNICKÉHO ZAŘÍZENÍ / LÉKÁRNY:</w:t>
            </w:r>
          </w:p>
        </w:tc>
        <w:tc>
          <w:tcPr>
            <w:tcW w:type="dxa" w:w="604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sz w:val="18"/>
              </w:rPr>
              <w:t>[Doplňte název lékárny / pracoviště]</w:t>
            </w:r>
          </w:p>
        </w:tc>
      </w:tr>
      <w:tr>
        <w:tc>
          <w:tcPr>
            <w:tcW w:type="dxa" w:w="4032"/>
            <w:shd w:fill="F1F5F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282828"/>
                <w:sz w:val="17"/>
              </w:rPr>
              <w:t>KÓD ZDRAVOTNICKÉHO ZAŘÍZENÍ (KÓD SÚKL):</w:t>
            </w:r>
          </w:p>
        </w:tc>
        <w:tc>
          <w:tcPr>
            <w:tcW w:type="dxa" w:w="604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sz w:val="18"/>
              </w:rPr>
              <w:t>[Doplňte 7místný kód pracoviště SÚKL]</w:t>
            </w:r>
          </w:p>
        </w:tc>
      </w:tr>
      <w:tr>
        <w:tc>
          <w:tcPr>
            <w:tcW w:type="dxa" w:w="4032"/>
            <w:shd w:fill="F1F5F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282828"/>
                <w:sz w:val="17"/>
              </w:rPr>
              <w:t>OZNAČENÍ DOKUMENTU / VERZE:</w:t>
            </w:r>
          </w:p>
        </w:tc>
        <w:tc>
          <w:tcPr>
            <w:tcW w:type="dxa" w:w="604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sz w:val="18"/>
              </w:rPr>
              <w:t>SOP-LEK-04 | Verze: 2.1 (Revize 2026)</w:t>
            </w:r>
          </w:p>
        </w:tc>
      </w:tr>
      <w:tr>
        <w:tc>
          <w:tcPr>
            <w:tcW w:type="dxa" w:w="4032"/>
            <w:shd w:fill="F1F5F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282828"/>
                <w:sz w:val="17"/>
              </w:rPr>
              <w:t>PLATNOST DOKUMENTU OD:</w:t>
            </w:r>
          </w:p>
        </w:tc>
        <w:tc>
          <w:tcPr>
            <w:tcW w:type="dxa" w:w="604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sz w:val="18"/>
              </w:rPr>
              <w:t>01. 01. 2026 | Termín příští revize: do 24 měsíců</w:t>
            </w:r>
          </w:p>
        </w:tc>
      </w:tr>
      <w:tr>
        <w:tc>
          <w:tcPr>
            <w:tcW w:type="dxa" w:w="4032"/>
            <w:shd w:fill="F1F5F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282828"/>
                <w:sz w:val="17"/>
              </w:rPr>
              <w:t>VYPRACOVAL (Jméno a funkce):</w:t>
            </w:r>
          </w:p>
        </w:tc>
        <w:tc>
          <w:tcPr>
            <w:tcW w:type="dxa" w:w="604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sz w:val="18"/>
              </w:rPr>
              <w:t>Mgr. .................................................... (Farmaceut / Manažer kvality)</w:t>
            </w:r>
          </w:p>
        </w:tc>
      </w:tr>
      <w:tr>
        <w:tc>
          <w:tcPr>
            <w:tcW w:type="dxa" w:w="4032"/>
            <w:shd w:fill="F1F5F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b/>
                <w:color w:val="282828"/>
                <w:sz w:val="17"/>
              </w:rPr>
              <w:t>SCHVÁLIL (Vedoucí lékárník):</w:t>
            </w:r>
          </w:p>
        </w:tc>
        <w:tc>
          <w:tcPr>
            <w:tcW w:type="dxa" w:w="604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40" w:after="40"/>
            </w:pPr>
            <w:r>
              <w:rPr>
                <w:sz w:val="18"/>
              </w:rPr>
              <w:t>PharmDr. .............................................. (Vedoucí lékárník / Garant)</w:t>
            </w:r>
          </w:p>
        </w:tc>
      </w:tr>
    </w:tbl>
    <w:p>
      <w:pPr>
        <w:spacing w:after="120"/>
      </w:pPr>
    </w:p>
    <w:p>
      <w:pPr>
        <w:spacing w:before="240" w:after="80"/>
      </w:pPr>
      <w:r>
        <w:rPr>
          <w:b/>
          <w:color w:val="0F172A"/>
          <w:sz w:val="30"/>
        </w:rPr>
        <w:t>SOP-LEK-04: Sledování, kontrola a záznam teplot při skladování termolabilních léčiv a postup při vzniku teplotních odchylek</w:t>
      </w:r>
    </w:p>
    <w:p>
      <w:pPr>
        <w:spacing w:after="280"/>
      </w:pPr>
      <w:r>
        <w:rPr>
          <w:i/>
          <w:color w:val="64748B"/>
          <w:sz w:val="18"/>
        </w:rPr>
        <w:t>V souladu s: Zákon č. 378/2007 Sb., vyhláška č. 84/2008 Sb., pokyn SÚKL DIS-15 v.4 a pokyny EU GDP (2013/C 343/01)</w:t>
      </w:r>
    </w:p>
    <w:p>
      <w:pPr>
        <w:spacing w:before="240" w:after="80"/>
      </w:pPr>
      <w:r>
        <w:rPr>
          <w:b/>
          <w:color w:val="1E293B"/>
          <w:sz w:val="23"/>
        </w:rPr>
        <w:t>1. ÚČEL A CÍL POSTUPU</w:t>
      </w:r>
    </w:p>
    <w:p>
      <w:pPr>
        <w:spacing w:after="160"/>
      </w:pPr>
      <w:r>
        <w:t>Tento standardní operační postup (SOP) stanovuje závazná pravidla a postupy pro pracovníky zdravotnického zařízení za účelem zajištění a prokazatelného doložení předepsaných skladovacích podmínek pro termolabilní léčivé přípravky, vakcíny a diagnostika in vitro. Cílem je zamezit znehodnocení léčiv a garantovat jejich bezpečnost, účinnost a jakost v plném souladu s požadavky Státního ústavu pro kontrolu léčiv (SÚKL).</w:t>
      </w:r>
    </w:p>
    <w:p>
      <w:pPr>
        <w:spacing w:before="240" w:after="80"/>
      </w:pPr>
      <w:r>
        <w:rPr>
          <w:b/>
          <w:color w:val="1E293B"/>
          <w:sz w:val="23"/>
        </w:rPr>
        <w:t>2. ROZSAH PLATNOSTI A ODPOVĚDNOSTI</w:t>
      </w:r>
    </w:p>
    <w:p>
      <w:r>
        <w:t>Tento předpis je závazný pro všechny zaměstnance lékárny / pracoviště, kteří manipulují s léčivy vyžadujícími chladový režim:</w:t>
        <w:br/>
        <w:t>• Vedoucí lékárník / Kvalifikovaná osoba: Zodpovídá za zavedení tohoto SOP, schvalování metrologického řádu, pravidelnou kontrolu kalibračních listů měřidel, vyhodnocování závažných teplotních exkurzí a hlášení na SÚKL / MAH.</w:t>
        <w:br/>
        <w:t>• Pověřený farmaceut / farmaceutický asistent: Provádí denní vizuální kontrolu stavu alarmů a měřidel, týdenní a měsíční export auditovatelných PDF reportů z dataloggerů a zakládání do metrologické knihy.</w:t>
        <w:br/>
        <w:t>• Sanitář / Přejímající pracovník: Zajišťuje neprodlené uložení dodávky termolabilních léčiv od distributora do chladničky (časový limit maximálně 10 minut od fyzického převzetí zásilky).</w:t>
      </w:r>
    </w:p>
    <w:p>
      <w:pPr>
        <w:spacing w:before="240" w:after="80"/>
      </w:pPr>
      <w:r>
        <w:rPr>
          <w:b/>
          <w:color w:val="1E293B"/>
          <w:sz w:val="23"/>
        </w:rPr>
        <w:t>3. TECHNICKÉ VYBAVENÍ A POŽADAVKY NA MĚŘIDLA</w:t>
      </w:r>
    </w:p>
    <w:p>
      <w:r>
        <w:t>3.1 Chladicí zařízení: Pro skladování léčiv v režimu +2 °C až +8 °C se používají výhradně profesionální lékárenské chladničky s nucenou cirkulací vzduchu (zamezení vzniku chladových kapes) a beznámrazovým systémem. V chladničkách je zakázáno skladovat potraviny personálu.</w:t>
        <w:br/>
        <w:t>3.2 Měřicí systém: Ke kontinuálnímu monitorování teploty se používají elektronické dataloggery (např. TempControl TagPlus-T / COEUS Mini / Fresh Tag 1) s pamětí pro spojitý záznam a přímým generováním neupravitelného PDF protokolu.</w:t>
        <w:br/>
        <w:t>3.3 Teplotní pufr (Glykolová lahvička): Snímač teploty v chladničce je trvale ponořen do tlumicího roztoku (lahvička s netoxickým potravinářským propylenglykolem nebo skleněnými kuličkami). Pufr simuluje reálnou tepelnou setrvačnost kapalných léčiv a eliminuje falešné alarmy způsobené běžným otevřením dveří.</w:t>
        <w:br/>
        <w:t>3.4 Alarmový systém: Alarmy jsou nastaveny s tolerancí: dolní mez +2,5 °C, horní mez +7,5 °C. Časové zpoždění alarmu (delay) nesmí překročit 15 minut.</w:t>
      </w:r>
    </w:p>
    <w:p>
      <w:pPr>
        <w:spacing w:before="240" w:after="80"/>
      </w:pPr>
      <w:r>
        <w:rPr>
          <w:b/>
          <w:color w:val="1E293B"/>
          <w:sz w:val="23"/>
        </w:rPr>
        <w:t>4. METROLOGICKÉ ZAJIŠTĚNÍ A KALIBRACE (Dle pokynu DIS-15)</w:t>
      </w:r>
    </w:p>
    <w:p>
      <w:r>
        <w:t>4.1 Pracovní měřidla: Všechny teploměry a záznamníky používané ke kontrole léčiv spadají do kategorie pracovních měřidel nestanovených.</w:t>
        <w:br/>
        <w:t>4.2 Interval rekalibrace: V souladu s pokynem SÚKL DIS-15 nesmí být interval mezi rekalibracemi delší než 24 měsíců. Kalibrace se provádí v akreditované metrologické laboratoři (ČIA / ČMI / ISO 17025) v minimálně 3 teplotních bodech (+2 °C, +5 °C, +8 °C).</w:t>
        <w:br/>
        <w:t>4.3 Kontinuta kalibrace (Výměnný program): Rekalibrace se zajišťuje výměnným způsobem před vypršením platnosti stávajícího certifikátu, aby měřené zařízení nezůstalo ani jeden den bez platně kalibrovaného přístroje.</w:t>
        <w:br/>
        <w:t>4.4 Kalibrační listy: Originály kalibračních listů jsou trvale uloženy v Metrologické knize lékárny a jsou okamžitě dostupné k nahlédnutí inspekci.</w:t>
      </w:r>
    </w:p>
    <w:p>
      <w:pPr>
        <w:spacing w:before="240" w:after="80"/>
      </w:pPr>
      <w:r>
        <w:rPr>
          <w:b/>
          <w:color w:val="1E293B"/>
          <w:sz w:val="23"/>
        </w:rPr>
        <w:t>5. POSTUP DENNÍ KONTROLY A ARCHIVACE</w:t>
      </w:r>
    </w:p>
    <w:p>
      <w:r>
        <w:t>5.1 Ranní kontrola (každý pracovní den v 8:00): Pověřený pracovník pohledem na displej dataloggeru ověří aktuální teplotu, minimální a maximální dosaženou hodnotu a stav displeje (zelený indikátor OK / absence symbolu ALARM).</w:t>
        <w:br/>
        <w:t>5.2 Kontrola víkendů a svátků: Datalogger zaznamenává data nepřetržitě v intervalu 10 minut. První pracovní den po víkendu/svátku pracovník přezkoumá průběh teplot za nepracovní dny.</w:t>
        <w:br/>
        <w:t>5.3 Měsíční export a archivace: K poslednímu dni v měsíci je datalogger připojen k USB portu PC. Vygenerovaný šifrovaný PDF protokol je uložen do chráněného adresáře na disku a zálohován. Vytištěný souhrn podepíše vedoucí lékárník.</w:t>
        <w:br/>
        <w:t>5.4 Doba archivace: Záznamy o teplotách se archivují po dobu minimálně 5 let.</w:t>
      </w:r>
    </w:p>
    <w:p>
      <w:pPr>
        <w:spacing w:before="240" w:after="80"/>
      </w:pPr>
      <w:r>
        <w:rPr>
          <w:b/>
          <w:color w:val="1E293B"/>
          <w:sz w:val="23"/>
        </w:rPr>
        <w:t>6. POSTUP PŘI VZNIKU TEPLOTNÍ EXKURZE (ODCHYLKY OD 2–8 °C)</w:t>
      </w:r>
    </w:p>
    <w:p>
      <w:r>
        <w:t>Dojde-li k poklesu teploty pod +2,0 °C nebo vzestupu nad +8,0 °C:</w:t>
        <w:br/>
        <w:t>KROK 1 – Okamžitý zásah: Zkontrolovat dovření dveří, přívod napájení 230 V a funkčnost agregátu. Zjistit z displeje/grafu přesnou dobu trvání odchylky a extremum teploty.</w:t>
        <w:br/>
        <w:t>KROK 2 – Karanténa léčiv: Všechna léčiva z dotčené chladničky se neprodleně fyzicky označí štítkem 'KARANTÉNA – NEVYDÁVAT' a přemístí do náhradní chladničky s vyhovující teplotou.</w:t>
        <w:br/>
        <w:t>KROK 3 – Vyhodnocení stability: Vedoucí lékárník vyhodnotí závažnost expozice (výpočet MKT – střední kinetické teploty). V případě překročení kritických mezí kontaktuje držitele registrace (MAH) nebo distributora a vyžádá stabilitní posouzení dotčených šarží.</w:t>
        <w:br/>
        <w:t>KROK 4 – Záznam do Knihy odchylek: Vyplní se Protokol o teplotní odchylce (datum, čas, teplota, seznam šarží, přijatá opatření, rozhodnutí o propuštění nebo likvidaci).</w:t>
      </w:r>
    </w:p>
    <w:p>
      <w:pPr>
        <w:spacing w:before="240" w:after="80"/>
      </w:pPr>
      <w:r>
        <w:rPr>
          <w:b/>
          <w:color w:val="1E293B"/>
          <w:sz w:val="23"/>
        </w:rPr>
        <w:t>7. HAVARIJNÍ PLÁN PŘI VÝPADKU NAPÁJENÍ NEBO PORUŠE</w:t>
      </w:r>
    </w:p>
    <w:p>
      <w:r>
        <w:t>• Výpadek napájení do 2 hodin: Chladničku neotevírat (kvalitní izolace udrží teplotu v limitu po dobu 2–4 hodin). Datalogger běží na interní baterii.</w:t>
        <w:br/>
        <w:t>• Výpadek nad 2 hodiny: Léčiva přemístit do předem připravených termoboxů s namraženými chladicími vložkami (nikdy nepřikládat vložky přímo k ampulím / vakcínám – riziko zmrznutí!).</w:t>
        <w:br/>
        <w:t>• Smluvní záloha: Při dlouhodobém výpadku je sjednáno nouzové uskladnění v partnerském zařízení: [Doplňte název a adresu záložního pracoviště / nemocnice].</w:t>
      </w:r>
    </w:p>
    <w:p>
      <w:pPr>
        <w:spacing w:before="240" w:after="80"/>
      </w:pPr>
      <w:r>
        <w:rPr>
          <w:b/>
          <w:color w:val="1E293B"/>
          <w:sz w:val="23"/>
        </w:rPr>
        <w:t>8. ZÁZNAM O SEZNÁMENÍ PRACOVNÍKŮ S TÍMTO SOP</w:t>
      </w:r>
    </w:p>
    <w:p>
      <w:pPr>
        <w:spacing w:after="120"/>
      </w:pPr>
      <w:r>
        <w:t>Svým podpisem stvrzuji, že jsem byl/a s tímto standardním operačním postupem seznámen/a, plně mu rozumím a zavazuji se jej dodržovat: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592"/>
            <w:shd w:fill="E2E8F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b/>
                <w:sz w:val="17"/>
              </w:rPr>
              <w:t>Jméno a příjmení</w:t>
            </w:r>
          </w:p>
        </w:tc>
        <w:tc>
          <w:tcPr>
            <w:tcW w:type="dxa" w:w="2880"/>
            <w:shd w:fill="E2E8F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b/>
                <w:sz w:val="17"/>
              </w:rPr>
              <w:t>Pracovní zařazení</w:t>
            </w:r>
          </w:p>
        </w:tc>
        <w:tc>
          <w:tcPr>
            <w:tcW w:type="dxa" w:w="2016"/>
            <w:shd w:fill="E2E8F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b/>
                <w:sz w:val="17"/>
              </w:rPr>
              <w:t>Datum seznámení</w:t>
            </w:r>
          </w:p>
        </w:tc>
        <w:tc>
          <w:tcPr>
            <w:tcW w:type="dxa" w:w="2592"/>
            <w:shd w:fill="E2E8F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b/>
                <w:sz w:val="17"/>
              </w:rPr>
              <w:t>Podpis pracovníka</w:t>
            </w:r>
          </w:p>
        </w:tc>
      </w:tr>
      <w:tr>
        <w:tc>
          <w:tcPr>
            <w:tcW w:type="dxa" w:w="2592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880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016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592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c>
          <w:tcPr>
            <w:tcW w:type="dxa" w:w="2592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880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016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592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c>
          <w:tcPr>
            <w:tcW w:type="dxa" w:w="2592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880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016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592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c>
          <w:tcPr>
            <w:tcW w:type="dxa" w:w="2592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880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016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592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c>
          <w:tcPr>
            <w:tcW w:type="dxa" w:w="2592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880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016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592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c>
          <w:tcPr>
            <w:tcW w:type="dxa" w:w="2592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880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016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  <w:tc>
          <w:tcPr>
            <w:tcW w:type="dxa" w:w="2592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</w:tbl>
    <w:sectPr w:rsidR="00FC693F" w:rsidRPr="0006063C" w:rsidSect="00034616">
      <w:head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787878"/>
        <w:sz w:val="17"/>
      </w:rPr>
      <w:t>STANDARDNÍ OPERAČNÍ POSTUP (SOP) · Dle pokynu SÚKL DIS-15 v.4 a vyhlášky č. 84/2008 Sb.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